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0"/>
        <w:gridCol w:w="1634"/>
        <w:gridCol w:w="4864"/>
        <w:gridCol w:w="1812"/>
        <w:gridCol w:w="2470"/>
      </w:tblGrid>
      <w:tr w:rsidR="00FA32D6" w:rsidRPr="00FA32D6" w:rsidTr="00FA32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26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FA32D6" w:rsidRDefault="00FA32D6" w:rsidP="00FA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b/>
                <w:bCs/>
                <w:color w:val="FFFFFF"/>
              </w:rPr>
              <w:t>Salary Action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26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FA32D6" w:rsidRDefault="00FA32D6" w:rsidP="00FA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b/>
                <w:bCs/>
                <w:color w:val="FFFFFF"/>
              </w:rPr>
              <w:t>Department Authority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26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FA32D6" w:rsidRDefault="00926193" w:rsidP="00FA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</w:rPr>
              <w:t>Individuals Identified by Division Leaders who have been trained by P &amp; C</w:t>
            </w:r>
            <w:r w:rsidR="00F32370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*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26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FA32D6" w:rsidRDefault="00FA32D6" w:rsidP="00FA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b/>
                <w:bCs/>
                <w:color w:val="FFFFFF"/>
              </w:rPr>
              <w:t>Vice Chancellor Authority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326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FA32D6" w:rsidRDefault="00FA32D6" w:rsidP="00FA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b/>
                <w:bCs/>
                <w:color w:val="FFFFFF"/>
              </w:rPr>
              <w:t>People and Culture Authority</w:t>
            </w:r>
          </w:p>
        </w:tc>
      </w:tr>
      <w:tr w:rsidR="00FA32D6" w:rsidRPr="00FA32D6" w:rsidTr="00FA32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FA32D6" w:rsidRDefault="00FA32D6" w:rsidP="00FA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New Hire </w:t>
            </w:r>
            <w:r w:rsidR="008465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and Promotional </w:t>
            </w:r>
            <w:r w:rsidRPr="00FA32D6">
              <w:rPr>
                <w:rFonts w:ascii="Arial" w:eastAsia="Times New Roman" w:hAnsi="Arial" w:cs="Arial"/>
                <w:b/>
                <w:bCs/>
                <w:color w:val="000000"/>
              </w:rPr>
              <w:t>Salary Setting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FA32D6" w:rsidRDefault="00FA32D6" w:rsidP="00FA32D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color w:val="000000"/>
              </w:rPr>
              <w:t>Hiring Manager: Up to midpoint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FA32D6" w:rsidRDefault="00926193" w:rsidP="00926193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FA32D6" w:rsidRDefault="00FA32D6" w:rsidP="00FA32D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color w:val="000000"/>
              </w:rPr>
              <w:t>Above midpoint, including above salary grade</w:t>
            </w:r>
            <w:r w:rsidR="006535A6">
              <w:rPr>
                <w:rFonts w:ascii="Arial" w:eastAsia="Times New Roman" w:hAnsi="Arial" w:cs="Arial"/>
                <w:color w:val="000000"/>
              </w:rPr>
              <w:t xml:space="preserve"> maximum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FA32D6" w:rsidRDefault="00FA32D6" w:rsidP="00FA32D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color w:val="000000"/>
              </w:rPr>
              <w:t>Campus Compensation: Above $330,000</w:t>
            </w:r>
          </w:p>
        </w:tc>
      </w:tr>
      <w:tr w:rsidR="00FA32D6" w:rsidRPr="00FA32D6" w:rsidTr="00FA32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FA32D6" w:rsidRDefault="00FA32D6" w:rsidP="00FA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b/>
                <w:bCs/>
                <w:color w:val="000000"/>
              </w:rPr>
              <w:t>Equity</w:t>
            </w:r>
            <w:r w:rsidR="00F43B2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and Reclassification</w:t>
            </w:r>
            <w:r w:rsidRPr="00FA32D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Increase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32D6" w:rsidRPr="00FA32D6" w:rsidRDefault="00FA32D6" w:rsidP="00FA32D6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FA32D6" w:rsidRDefault="00FA32D6" w:rsidP="0062730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color w:val="000000"/>
              </w:rPr>
              <w:t>Resulting salary is 1) below midpoint or 2</w:t>
            </w:r>
            <w:r w:rsidR="00627304">
              <w:rPr>
                <w:rFonts w:ascii="Arial" w:eastAsia="Times New Roman" w:hAnsi="Arial" w:cs="Arial"/>
                <w:color w:val="000000"/>
              </w:rPr>
              <w:t xml:space="preserve">) </w:t>
            </w:r>
            <w:r w:rsidR="00627304">
              <w:t>approving equity increases above the midpoint of the range </w:t>
            </w:r>
            <w:r w:rsidR="00627304">
              <w:rPr>
                <w:rStyle w:val="Strong"/>
              </w:rPr>
              <w:t>for an employee whose salary is already above the salary range midpoint</w:t>
            </w:r>
            <w:r w:rsidR="00627304">
              <w:t>, including increases in connection with reclassifications (using the range of the new classification), of up to 10% for an individual employee in a rolling twelve (12) month period (excluding annual merit or across the board increases). </w:t>
            </w:r>
            <w:r w:rsidR="00627304">
              <w:rPr>
                <w:rStyle w:val="Strong"/>
              </w:rPr>
              <w:t>Salary increases greater than 10% for an employee whose current salary is below the salary range midpoint resulting in a salary over the salary range midpoint need to be submitted to Compensation for approval.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FA32D6" w:rsidRDefault="00FA32D6" w:rsidP="00FA32D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color w:val="000000"/>
              </w:rPr>
              <w:t>Increase results in salary above the salary range maximum</w:t>
            </w:r>
          </w:p>
          <w:p w:rsidR="00FA32D6" w:rsidRPr="00FA32D6" w:rsidRDefault="00FA32D6" w:rsidP="00FA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2D6" w:rsidRPr="00FA32D6" w:rsidRDefault="00FA32D6" w:rsidP="00FA32D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FA32D6" w:rsidRDefault="00FA32D6" w:rsidP="00FA32D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color w:val="000000"/>
              </w:rPr>
              <w:t xml:space="preserve">Campus Compensation: Resulting salary is above midpoint </w:t>
            </w:r>
            <w:r w:rsidRPr="00FA32D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and </w:t>
            </w:r>
            <w:r w:rsidRPr="00FA32D6">
              <w:rPr>
                <w:rFonts w:ascii="Arial" w:eastAsia="Times New Roman" w:hAnsi="Arial" w:cs="Arial"/>
                <w:color w:val="000000"/>
              </w:rPr>
              <w:t>total increase is &gt;10%</w:t>
            </w:r>
          </w:p>
        </w:tc>
      </w:tr>
      <w:tr w:rsidR="00FA32D6" w:rsidRPr="00FA32D6" w:rsidTr="00FA32D6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FA32D6" w:rsidRDefault="00FA32D6" w:rsidP="00FA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b/>
                <w:bCs/>
                <w:color w:val="000000"/>
              </w:rPr>
              <w:t>Counter Offers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32D6" w:rsidRPr="00FA32D6" w:rsidRDefault="00FA32D6" w:rsidP="00FA32D6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color w:val="000000"/>
              </w:rPr>
              <w:t>–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FA32D6" w:rsidRDefault="00FA32D6" w:rsidP="00627304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color w:val="000000"/>
              </w:rPr>
              <w:t xml:space="preserve">Resulting salary is 1) below midpoint or 2) </w:t>
            </w:r>
            <w:r w:rsidR="00627304">
              <w:t>approving equity increases above the midpoint of the range </w:t>
            </w:r>
            <w:r w:rsidR="00627304">
              <w:rPr>
                <w:rStyle w:val="Strong"/>
              </w:rPr>
              <w:t>for an employee whose salary is already above the salary range midpoint</w:t>
            </w:r>
            <w:r w:rsidR="00627304">
              <w:t>, including increases in connection with reclassifications (using the range of the new classification), of up to 10% for an individual employee in a rolling twelve (12) month period (excluding annual merit or across the board increases). </w:t>
            </w:r>
            <w:r w:rsidR="00627304">
              <w:rPr>
                <w:rStyle w:val="Strong"/>
              </w:rPr>
              <w:t xml:space="preserve">Salary increases greater than 10% for an employee whose current </w:t>
            </w:r>
            <w:r w:rsidR="00627304">
              <w:rPr>
                <w:rStyle w:val="Strong"/>
              </w:rPr>
              <w:lastRenderedPageBreak/>
              <w:t>salary is below the salary range midpoint resulting in a salary over the salary range midpoint need to be submitted to Compensation for approval.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FA32D6" w:rsidRDefault="00FA32D6" w:rsidP="00FA32D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color w:val="000000"/>
              </w:rPr>
              <w:lastRenderedPageBreak/>
              <w:t>Increase results in salary above the salary range maximum</w:t>
            </w:r>
          </w:p>
          <w:p w:rsidR="00FA32D6" w:rsidRPr="00FA32D6" w:rsidRDefault="00FA32D6" w:rsidP="00FA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2D6" w:rsidRPr="00FA32D6" w:rsidRDefault="00FA32D6" w:rsidP="00FA32D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FA32D6" w:rsidRDefault="00FA32D6" w:rsidP="00FA32D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color w:val="000000"/>
              </w:rPr>
              <w:t xml:space="preserve">Campus Compensation: Resulting salary is above midpoint </w:t>
            </w:r>
            <w:r w:rsidRPr="00FA32D6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and </w:t>
            </w:r>
            <w:r w:rsidRPr="00FA32D6">
              <w:rPr>
                <w:rFonts w:ascii="Arial" w:eastAsia="Times New Roman" w:hAnsi="Arial" w:cs="Arial"/>
                <w:color w:val="000000"/>
              </w:rPr>
              <w:t>total increase is &gt;10%</w:t>
            </w:r>
          </w:p>
        </w:tc>
      </w:tr>
      <w:tr w:rsidR="00FA32D6" w:rsidRPr="00FA32D6" w:rsidTr="00627304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FA32D6" w:rsidRDefault="00FA32D6" w:rsidP="00FA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b/>
                <w:bCs/>
                <w:color w:val="000000"/>
              </w:rPr>
              <w:t>Administrative Stipends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32D6" w:rsidRPr="00FA32D6" w:rsidRDefault="00627304" w:rsidP="00FA32D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 to one year and less than 25%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627304" w:rsidRDefault="00627304" w:rsidP="00627304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7304">
              <w:rPr>
                <w:rFonts w:ascii="Times New Roman" w:eastAsia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FA32D6" w:rsidRDefault="00627304" w:rsidP="00FA32D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FA32D6" w:rsidRDefault="00FA32D6" w:rsidP="00FA32D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color w:val="000000"/>
              </w:rPr>
              <w:t>Campus Compensation: More than one year in duration</w:t>
            </w:r>
          </w:p>
          <w:p w:rsidR="00FA32D6" w:rsidRPr="00FA32D6" w:rsidRDefault="00FA32D6" w:rsidP="00FA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32D6" w:rsidRPr="00FA32D6" w:rsidRDefault="00FA32D6" w:rsidP="00FA32D6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color w:val="000000"/>
              </w:rPr>
              <w:t>AVC-HR: More than 25% and/or more than two years in duration</w:t>
            </w:r>
          </w:p>
        </w:tc>
      </w:tr>
      <w:tr w:rsidR="00FA32D6" w:rsidRPr="00FA32D6" w:rsidTr="00FA32D6">
        <w:trPr>
          <w:trHeight w:val="810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A32D6" w:rsidRPr="00FA32D6" w:rsidRDefault="00FA32D6" w:rsidP="00FA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Salary Actions for </w:t>
            </w:r>
            <w:r w:rsidRPr="00FA32D6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Represented</w:t>
            </w:r>
            <w:r w:rsidRPr="00FA32D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Employees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FA32D6" w:rsidRPr="00FA32D6" w:rsidRDefault="00FA32D6" w:rsidP="00FA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32D6">
              <w:rPr>
                <w:rFonts w:ascii="Arial" w:eastAsia="Times New Roman" w:hAnsi="Arial" w:cs="Arial"/>
                <w:color w:val="000000"/>
              </w:rPr>
              <w:t>All actions should go through Campus Compensation, who will facilitate bargaining unit and Labor Relations engagement</w:t>
            </w:r>
          </w:p>
        </w:tc>
      </w:tr>
    </w:tbl>
    <w:p w:rsidR="0057768F" w:rsidRDefault="00ED003C"/>
    <w:p w:rsidR="00F32370" w:rsidRDefault="00F32370" w:rsidP="00F3237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32DED">
        <w:rPr>
          <w:rFonts w:ascii="Times New Roman" w:hAnsi="Times New Roman" w:cs="Times New Roman"/>
          <w:b/>
          <w:sz w:val="24"/>
          <w:szCs w:val="24"/>
        </w:rPr>
        <w:t>Individuals Identified by Division Leaders who have been trained by P &amp; C:</w:t>
      </w:r>
    </w:p>
    <w:p w:rsidR="00A32DED" w:rsidRPr="00A32DED" w:rsidRDefault="00A32DED" w:rsidP="00A32DED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32DED" w:rsidTr="00A92479">
        <w:tc>
          <w:tcPr>
            <w:tcW w:w="4675" w:type="dxa"/>
          </w:tcPr>
          <w:p w:rsidR="00A32DED" w:rsidRPr="00A32DED" w:rsidRDefault="00A32DED" w:rsidP="00A32DED">
            <w:pPr>
              <w:pStyle w:val="ListParagraph"/>
              <w:rPr>
                <w:rFonts w:ascii="Segoe UI" w:hAnsi="Segoe UI" w:cs="Segoe UI"/>
                <w:b/>
                <w:sz w:val="24"/>
                <w:szCs w:val="24"/>
              </w:rPr>
            </w:pPr>
            <w:r w:rsidRPr="00A32DED">
              <w:rPr>
                <w:rFonts w:ascii="Segoe UI" w:hAnsi="Segoe UI" w:cs="Segoe UI"/>
                <w:b/>
                <w:sz w:val="24"/>
                <w:szCs w:val="24"/>
              </w:rPr>
              <w:t>Organization</w:t>
            </w:r>
          </w:p>
        </w:tc>
        <w:tc>
          <w:tcPr>
            <w:tcW w:w="4675" w:type="dxa"/>
          </w:tcPr>
          <w:p w:rsidR="00A32DED" w:rsidRPr="00A32DED" w:rsidRDefault="00A32DED" w:rsidP="00A92479">
            <w:pPr>
              <w:rPr>
                <w:b/>
                <w:sz w:val="24"/>
                <w:szCs w:val="24"/>
              </w:rPr>
            </w:pPr>
            <w:r w:rsidRPr="00A32DED">
              <w:rPr>
                <w:b/>
                <w:sz w:val="24"/>
                <w:szCs w:val="24"/>
              </w:rPr>
              <w:t>Approval Authority</w:t>
            </w:r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Office of the Executive Vice Chancellor and Provost</w:t>
            </w:r>
          </w:p>
        </w:tc>
        <w:tc>
          <w:tcPr>
            <w:tcW w:w="4675" w:type="dxa"/>
          </w:tcPr>
          <w:p w:rsidR="00A32DED" w:rsidRDefault="00A32DED" w:rsidP="00A92479">
            <w:r>
              <w:t>Andrea Lambert-Tan</w:t>
            </w:r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College of Engineering</w:t>
            </w:r>
          </w:p>
        </w:tc>
        <w:tc>
          <w:tcPr>
            <w:tcW w:w="4675" w:type="dxa"/>
          </w:tcPr>
          <w:p w:rsidR="00A32DED" w:rsidRDefault="00A32DED" w:rsidP="00A92479">
            <w:proofErr w:type="spellStart"/>
            <w:r>
              <w:t>Dat</w:t>
            </w:r>
            <w:proofErr w:type="spellEnd"/>
            <w:r>
              <w:t xml:space="preserve"> Le</w:t>
            </w:r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College of Environmental Design</w:t>
            </w:r>
          </w:p>
        </w:tc>
        <w:tc>
          <w:tcPr>
            <w:tcW w:w="4675" w:type="dxa"/>
          </w:tcPr>
          <w:p w:rsidR="00A32DED" w:rsidRDefault="00A32DED" w:rsidP="00A92479">
            <w:r>
              <w:t xml:space="preserve">Susan </w:t>
            </w:r>
            <w:proofErr w:type="spellStart"/>
            <w:r>
              <w:t>Retta</w:t>
            </w:r>
            <w:proofErr w:type="spellEnd"/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College of Letters and Science</w:t>
            </w:r>
          </w:p>
        </w:tc>
        <w:tc>
          <w:tcPr>
            <w:tcW w:w="4675" w:type="dxa"/>
          </w:tcPr>
          <w:p w:rsidR="00A32DED" w:rsidRDefault="00A32DED" w:rsidP="00A92479">
            <w:r>
              <w:t>Amy Robinson and Nick Dear</w:t>
            </w:r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College of Letters and Science, Division of Biological Sciences</w:t>
            </w:r>
          </w:p>
        </w:tc>
        <w:tc>
          <w:tcPr>
            <w:tcW w:w="4675" w:type="dxa"/>
          </w:tcPr>
          <w:p w:rsidR="00A32DED" w:rsidRDefault="00A32DED" w:rsidP="00A92479">
            <w:r>
              <w:t>Heidi Wagner</w:t>
            </w:r>
          </w:p>
        </w:tc>
        <w:bookmarkStart w:id="0" w:name="_GoBack"/>
        <w:bookmarkEnd w:id="0"/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College of Letters and Science, Division of Mathematical and Physical Sciences</w:t>
            </w:r>
          </w:p>
        </w:tc>
        <w:tc>
          <w:tcPr>
            <w:tcW w:w="4675" w:type="dxa"/>
          </w:tcPr>
          <w:p w:rsidR="00A32DED" w:rsidRDefault="00A32DED" w:rsidP="00A92479">
            <w:r>
              <w:t xml:space="preserve">Wanda </w:t>
            </w:r>
            <w:proofErr w:type="spellStart"/>
            <w:r>
              <w:t>Nieters</w:t>
            </w:r>
            <w:proofErr w:type="spellEnd"/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College of Letters and Science, Division of Social Sciences</w:t>
            </w:r>
          </w:p>
        </w:tc>
        <w:tc>
          <w:tcPr>
            <w:tcW w:w="4675" w:type="dxa"/>
          </w:tcPr>
          <w:p w:rsidR="00A32DED" w:rsidRDefault="00A32DED" w:rsidP="00A92479">
            <w:r>
              <w:t>Holli Griffin Strauss</w:t>
            </w:r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College of Letters and Science, Undergraduate Studies</w:t>
            </w:r>
          </w:p>
        </w:tc>
        <w:tc>
          <w:tcPr>
            <w:tcW w:w="4675" w:type="dxa"/>
          </w:tcPr>
          <w:p w:rsidR="00A32DED" w:rsidRDefault="00A32DED" w:rsidP="00A92479">
            <w:r>
              <w:t xml:space="preserve">Rebecca </w:t>
            </w:r>
            <w:proofErr w:type="spellStart"/>
            <w:r>
              <w:t>Sablo</w:t>
            </w:r>
            <w:proofErr w:type="spellEnd"/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Division of Computing, Data Science, and Society</w:t>
            </w:r>
          </w:p>
        </w:tc>
        <w:tc>
          <w:tcPr>
            <w:tcW w:w="4675" w:type="dxa"/>
          </w:tcPr>
          <w:p w:rsidR="00A32DED" w:rsidRDefault="00A32DED" w:rsidP="00A92479">
            <w:r>
              <w:t>Rebecca Miller</w:t>
            </w:r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Goldman School of Public Policy</w:t>
            </w:r>
          </w:p>
        </w:tc>
        <w:tc>
          <w:tcPr>
            <w:tcW w:w="4675" w:type="dxa"/>
          </w:tcPr>
          <w:p w:rsidR="00A32DED" w:rsidRDefault="00A32DED" w:rsidP="00A92479">
            <w:r>
              <w:t xml:space="preserve">Sandi </w:t>
            </w:r>
            <w:proofErr w:type="spellStart"/>
            <w:r>
              <w:t>Ketchpel</w:t>
            </w:r>
            <w:proofErr w:type="spellEnd"/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Berkeley School of Education</w:t>
            </w:r>
          </w:p>
        </w:tc>
        <w:tc>
          <w:tcPr>
            <w:tcW w:w="4675" w:type="dxa"/>
          </w:tcPr>
          <w:p w:rsidR="00A32DED" w:rsidRDefault="00A32DED" w:rsidP="00A92479">
            <w:r>
              <w:t xml:space="preserve">Allyson </w:t>
            </w:r>
            <w:proofErr w:type="spellStart"/>
            <w:r>
              <w:t>Cesario</w:t>
            </w:r>
            <w:proofErr w:type="spellEnd"/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Haas School of Business</w:t>
            </w:r>
          </w:p>
        </w:tc>
        <w:tc>
          <w:tcPr>
            <w:tcW w:w="4675" w:type="dxa"/>
          </w:tcPr>
          <w:p w:rsidR="00A32DED" w:rsidRDefault="00A32DED" w:rsidP="00A92479">
            <w:r>
              <w:t>Courtney Chandler</w:t>
            </w:r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School of Journalism</w:t>
            </w:r>
          </w:p>
        </w:tc>
        <w:tc>
          <w:tcPr>
            <w:tcW w:w="4675" w:type="dxa"/>
          </w:tcPr>
          <w:p w:rsidR="00A32DED" w:rsidRDefault="00A32DED" w:rsidP="00A92479">
            <w:r>
              <w:t>Annette Garcia</w:t>
            </w:r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School of Law</w:t>
            </w:r>
          </w:p>
        </w:tc>
        <w:tc>
          <w:tcPr>
            <w:tcW w:w="4675" w:type="dxa"/>
          </w:tcPr>
          <w:p w:rsidR="00A32DED" w:rsidRDefault="00A32DED" w:rsidP="00A92479">
            <w:r>
              <w:t>Charles Cannon</w:t>
            </w:r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School of Public Health</w:t>
            </w:r>
          </w:p>
        </w:tc>
        <w:tc>
          <w:tcPr>
            <w:tcW w:w="4675" w:type="dxa"/>
          </w:tcPr>
          <w:p w:rsidR="00A32DED" w:rsidRDefault="00A32DED" w:rsidP="00A92479">
            <w:proofErr w:type="spellStart"/>
            <w:r>
              <w:t>Seana</w:t>
            </w:r>
            <w:proofErr w:type="spellEnd"/>
            <w:r>
              <w:t xml:space="preserve"> Van Buren</w:t>
            </w:r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proofErr w:type="spellStart"/>
            <w:r>
              <w:t>Rausser</w:t>
            </w:r>
            <w:proofErr w:type="spellEnd"/>
            <w:r>
              <w:t xml:space="preserve"> College of Natural Resources</w:t>
            </w:r>
          </w:p>
        </w:tc>
        <w:tc>
          <w:tcPr>
            <w:tcW w:w="4675" w:type="dxa"/>
          </w:tcPr>
          <w:p w:rsidR="00A32DED" w:rsidRDefault="00A32DED" w:rsidP="00A92479">
            <w:r>
              <w:t xml:space="preserve">Lee </w:t>
            </w:r>
            <w:proofErr w:type="spellStart"/>
            <w:r>
              <w:t>Borrowman</w:t>
            </w:r>
            <w:proofErr w:type="spellEnd"/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School of Social Welfare</w:t>
            </w:r>
          </w:p>
        </w:tc>
        <w:tc>
          <w:tcPr>
            <w:tcW w:w="4675" w:type="dxa"/>
          </w:tcPr>
          <w:p w:rsidR="00A32DED" w:rsidRDefault="00A32DED" w:rsidP="00A92479">
            <w:r>
              <w:t>Dana Kowalski</w:t>
            </w:r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Summer Sessions, Study Abroad, Lifelong Learning, and University Extension (SSALLEX)</w:t>
            </w:r>
          </w:p>
        </w:tc>
        <w:tc>
          <w:tcPr>
            <w:tcW w:w="4675" w:type="dxa"/>
          </w:tcPr>
          <w:p w:rsidR="00A32DED" w:rsidRDefault="00A32DED" w:rsidP="00A92479">
            <w:r>
              <w:t>Moon Jang-Shinn</w:t>
            </w:r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Wertheim School of Optometry &amp; Vision Science</w:t>
            </w:r>
          </w:p>
        </w:tc>
        <w:tc>
          <w:tcPr>
            <w:tcW w:w="4675" w:type="dxa"/>
          </w:tcPr>
          <w:p w:rsidR="00A32DED" w:rsidRDefault="00A32DED" w:rsidP="00A92479">
            <w:r>
              <w:t>Monica Porter</w:t>
            </w:r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Academic Senate, Berkeley Division</w:t>
            </w:r>
          </w:p>
        </w:tc>
        <w:tc>
          <w:tcPr>
            <w:tcW w:w="4675" w:type="dxa"/>
          </w:tcPr>
          <w:p w:rsidR="00A32DED" w:rsidRDefault="00A32DED" w:rsidP="00A92479">
            <w:r>
              <w:t xml:space="preserve">Jocelyn </w:t>
            </w:r>
            <w:proofErr w:type="spellStart"/>
            <w:r>
              <w:t>Banaria</w:t>
            </w:r>
            <w:proofErr w:type="spellEnd"/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Graduate Division</w:t>
            </w:r>
          </w:p>
        </w:tc>
        <w:tc>
          <w:tcPr>
            <w:tcW w:w="4675" w:type="dxa"/>
          </w:tcPr>
          <w:p w:rsidR="00A32DED" w:rsidRDefault="00A32DED" w:rsidP="00A92479">
            <w:proofErr w:type="spellStart"/>
            <w:r>
              <w:t>Denzil</w:t>
            </w:r>
            <w:proofErr w:type="spellEnd"/>
            <w:r>
              <w:t xml:space="preserve"> </w:t>
            </w:r>
            <w:proofErr w:type="spellStart"/>
            <w:r>
              <w:t>Streete</w:t>
            </w:r>
            <w:proofErr w:type="spellEnd"/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Office of the Chief Information Officer</w:t>
            </w:r>
          </w:p>
        </w:tc>
        <w:tc>
          <w:tcPr>
            <w:tcW w:w="4675" w:type="dxa"/>
          </w:tcPr>
          <w:p w:rsidR="00A32DED" w:rsidRDefault="00A32DED" w:rsidP="00A92479">
            <w:r>
              <w:t>Terence Phuong</w:t>
            </w:r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Office of the Executive Vice Chancellor and Provost</w:t>
            </w:r>
          </w:p>
        </w:tc>
        <w:tc>
          <w:tcPr>
            <w:tcW w:w="4675" w:type="dxa"/>
          </w:tcPr>
          <w:p w:rsidR="00A32DED" w:rsidRDefault="00A32DED" w:rsidP="00A92479">
            <w:r>
              <w:t xml:space="preserve">Kristine Lee </w:t>
            </w:r>
            <w:proofErr w:type="spellStart"/>
            <w:r>
              <w:t>Wilby</w:t>
            </w:r>
            <w:proofErr w:type="spellEnd"/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Office of the Vice Chancellor for Equity and Inclusion</w:t>
            </w:r>
          </w:p>
        </w:tc>
        <w:tc>
          <w:tcPr>
            <w:tcW w:w="4675" w:type="dxa"/>
          </w:tcPr>
          <w:p w:rsidR="00A32DED" w:rsidRDefault="00A32DED" w:rsidP="00A92479">
            <w:proofErr w:type="spellStart"/>
            <w:r>
              <w:t>Fabrizio</w:t>
            </w:r>
            <w:proofErr w:type="spellEnd"/>
            <w:r>
              <w:t xml:space="preserve"> Mejia</w:t>
            </w:r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Office of the Vice Chancellor for Research</w:t>
            </w:r>
          </w:p>
        </w:tc>
        <w:tc>
          <w:tcPr>
            <w:tcW w:w="4675" w:type="dxa"/>
          </w:tcPr>
          <w:p w:rsidR="00A32DED" w:rsidRDefault="00A32DED" w:rsidP="00A92479">
            <w:r>
              <w:t xml:space="preserve">Elizabeth </w:t>
            </w:r>
            <w:proofErr w:type="spellStart"/>
            <w:r>
              <w:t>Brashers</w:t>
            </w:r>
            <w:proofErr w:type="spellEnd"/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Office of the Vice Provost for Undergraduate Education</w:t>
            </w:r>
          </w:p>
        </w:tc>
        <w:tc>
          <w:tcPr>
            <w:tcW w:w="4675" w:type="dxa"/>
          </w:tcPr>
          <w:p w:rsidR="00A32DED" w:rsidRDefault="00A32DED" w:rsidP="00A92479">
            <w:r>
              <w:t xml:space="preserve">Cynthia </w:t>
            </w:r>
            <w:proofErr w:type="spellStart"/>
            <w:r>
              <w:t>Bumgarner</w:t>
            </w:r>
            <w:proofErr w:type="spellEnd"/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Office of the Vice Provost for Faculty</w:t>
            </w:r>
          </w:p>
        </w:tc>
        <w:tc>
          <w:tcPr>
            <w:tcW w:w="4675" w:type="dxa"/>
          </w:tcPr>
          <w:p w:rsidR="00A32DED" w:rsidRDefault="00A32DED" w:rsidP="00A92479">
            <w:r>
              <w:t xml:space="preserve">Dana </w:t>
            </w:r>
            <w:proofErr w:type="spellStart"/>
            <w:r>
              <w:t>Jantz</w:t>
            </w:r>
            <w:proofErr w:type="spellEnd"/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Office of the Vice Provost for Academic Planning</w:t>
            </w:r>
          </w:p>
        </w:tc>
        <w:tc>
          <w:tcPr>
            <w:tcW w:w="4675" w:type="dxa"/>
          </w:tcPr>
          <w:p w:rsidR="00A32DED" w:rsidRDefault="00A32DED" w:rsidP="00A92479">
            <w:r>
              <w:t>James Ford</w:t>
            </w:r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University Library</w:t>
            </w:r>
          </w:p>
        </w:tc>
        <w:tc>
          <w:tcPr>
            <w:tcW w:w="4675" w:type="dxa"/>
          </w:tcPr>
          <w:p w:rsidR="00A32DED" w:rsidRDefault="00A32DED" w:rsidP="00A92479">
            <w:r>
              <w:t xml:space="preserve">Susan </w:t>
            </w:r>
            <w:proofErr w:type="spellStart"/>
            <w:r>
              <w:t>Swarts</w:t>
            </w:r>
            <w:proofErr w:type="spellEnd"/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Student Affairs Control Unit</w:t>
            </w:r>
          </w:p>
        </w:tc>
        <w:tc>
          <w:tcPr>
            <w:tcW w:w="4675" w:type="dxa"/>
          </w:tcPr>
          <w:p w:rsidR="00A32DED" w:rsidRDefault="00A32DED" w:rsidP="00A92479">
            <w:r>
              <w:t>Beth Pearce</w:t>
            </w:r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University Development and Alumni Relations Control Unit</w:t>
            </w:r>
          </w:p>
        </w:tc>
        <w:tc>
          <w:tcPr>
            <w:tcW w:w="4675" w:type="dxa"/>
          </w:tcPr>
          <w:p w:rsidR="00A32DED" w:rsidRDefault="00A32DED" w:rsidP="00A92479">
            <w:r>
              <w:t xml:space="preserve">Ron </w:t>
            </w:r>
            <w:proofErr w:type="spellStart"/>
            <w:r>
              <w:t>Coverson</w:t>
            </w:r>
            <w:proofErr w:type="spellEnd"/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Equity and Inclusion Control Unit</w:t>
            </w:r>
          </w:p>
        </w:tc>
        <w:tc>
          <w:tcPr>
            <w:tcW w:w="4675" w:type="dxa"/>
          </w:tcPr>
          <w:p w:rsidR="00A32DED" w:rsidRDefault="00A32DED" w:rsidP="00A92479">
            <w:r>
              <w:t>Debbie Fong</w:t>
            </w:r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Undergraduate Education Control Unit</w:t>
            </w:r>
          </w:p>
        </w:tc>
        <w:tc>
          <w:tcPr>
            <w:tcW w:w="4675" w:type="dxa"/>
          </w:tcPr>
          <w:p w:rsidR="00A32DED" w:rsidRDefault="00A32DED" w:rsidP="00A92479">
            <w:r>
              <w:t>Monica Garcia</w:t>
            </w:r>
          </w:p>
        </w:tc>
      </w:tr>
      <w:tr w:rsidR="00A32DED" w:rsidTr="00A92479">
        <w:tc>
          <w:tcPr>
            <w:tcW w:w="4675" w:type="dxa"/>
          </w:tcPr>
          <w:p w:rsidR="00A32DED" w:rsidRDefault="00A32DED" w:rsidP="00A92479">
            <w:r>
              <w:t>Administration Control Unit</w:t>
            </w:r>
          </w:p>
        </w:tc>
        <w:tc>
          <w:tcPr>
            <w:tcW w:w="4675" w:type="dxa"/>
          </w:tcPr>
          <w:p w:rsidR="00A32DED" w:rsidRDefault="00A32DED" w:rsidP="00A92479">
            <w:r>
              <w:t>Janet Speer</w:t>
            </w:r>
          </w:p>
        </w:tc>
      </w:tr>
    </w:tbl>
    <w:p w:rsidR="00A32DED" w:rsidRDefault="00A32DED" w:rsidP="00A32DED"/>
    <w:p w:rsidR="00623253" w:rsidRPr="00623253" w:rsidRDefault="00623253" w:rsidP="00A32D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23253" w:rsidRPr="00623253" w:rsidSect="00B155B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1488D"/>
    <w:multiLevelType w:val="hybridMultilevel"/>
    <w:tmpl w:val="0BE0CCF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5016279E"/>
    <w:multiLevelType w:val="multilevel"/>
    <w:tmpl w:val="31DC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8D6813"/>
    <w:multiLevelType w:val="hybridMultilevel"/>
    <w:tmpl w:val="B5FAB6F6"/>
    <w:lvl w:ilvl="0" w:tplc="868E7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66C"/>
    <w:multiLevelType w:val="multilevel"/>
    <w:tmpl w:val="07D61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9C259D"/>
    <w:multiLevelType w:val="multilevel"/>
    <w:tmpl w:val="6B925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D6"/>
    <w:rsid w:val="00090220"/>
    <w:rsid w:val="00507B54"/>
    <w:rsid w:val="00623253"/>
    <w:rsid w:val="00627304"/>
    <w:rsid w:val="006535A6"/>
    <w:rsid w:val="008465F5"/>
    <w:rsid w:val="00905F45"/>
    <w:rsid w:val="00926193"/>
    <w:rsid w:val="00A32DED"/>
    <w:rsid w:val="00B155B0"/>
    <w:rsid w:val="00F32370"/>
    <w:rsid w:val="00F43B24"/>
    <w:rsid w:val="00FA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2BFD"/>
  <w15:chartTrackingRefBased/>
  <w15:docId w15:val="{EB0B6A0D-5288-4FD6-91A7-5721EF48E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6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1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26193"/>
    <w:rPr>
      <w:b/>
      <w:bCs/>
    </w:rPr>
  </w:style>
  <w:style w:type="paragraph" w:styleId="ListParagraph">
    <w:name w:val="List Paragraph"/>
    <w:basedOn w:val="Normal"/>
    <w:uiPriority w:val="34"/>
    <w:qFormat/>
    <w:rsid w:val="00627304"/>
    <w:pPr>
      <w:ind w:left="720"/>
      <w:contextualSpacing/>
    </w:pPr>
  </w:style>
  <w:style w:type="table" w:styleId="TableGrid">
    <w:name w:val="Table Grid"/>
    <w:basedOn w:val="TableNormal"/>
    <w:uiPriority w:val="39"/>
    <w:rsid w:val="00A32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5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640</Words>
  <Characters>3649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DINKELSPIEL</dc:creator>
  <cp:keywords/>
  <dc:description/>
  <cp:lastModifiedBy>Scott DINKELSPIEL</cp:lastModifiedBy>
  <cp:revision>2</cp:revision>
  <cp:lastPrinted>2023-03-03T18:40:00Z</cp:lastPrinted>
  <dcterms:created xsi:type="dcterms:W3CDTF">2023-03-08T20:55:00Z</dcterms:created>
  <dcterms:modified xsi:type="dcterms:W3CDTF">2023-03-08T20:55:00Z</dcterms:modified>
</cp:coreProperties>
</file>